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EDUAUAU AFAFAFA TTT AJAJAJ</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1.234.567</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28/07/2025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43</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Julio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