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JOSE FERNANDO ROBLES PELA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CONDUCTOR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1.040.517.896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17/10/2025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17/10/2025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